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ocnowyrniony"/>
          <w:sz w:val="32"/>
          <w:szCs w:val="32"/>
        </w:rPr>
        <w:t xml:space="preserve">Wyniki badań jakości wody z wodociągu </w:t>
      </w:r>
      <w:r>
        <w:rPr>
          <w:rStyle w:val="Mocnowyrniony"/>
          <w:sz w:val="32"/>
          <w:szCs w:val="32"/>
        </w:rPr>
        <w:t>Ignatki Osiedle</w:t>
      </w:r>
      <w:r>
        <w:rPr>
          <w:rStyle w:val="Mocnowyrniony"/>
          <w:sz w:val="32"/>
          <w:szCs w:val="32"/>
        </w:rPr>
        <w:t xml:space="preserve"> w 2020 roku wykonane w ramach monitoringu przeglądowego: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45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19" w:type="dxa"/>
          <w:bottom w:w="30" w:type="dxa"/>
          <w:right w:w="30" w:type="dxa"/>
        </w:tblCellMar>
      </w:tblPr>
      <w:tblGrid>
        <w:gridCol w:w="2894"/>
        <w:gridCol w:w="1425"/>
        <w:gridCol w:w="2493"/>
        <w:gridCol w:w="2832"/>
      </w:tblGrid>
      <w:tr>
        <w:trPr/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Wynik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Enterokoki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Ogólna liczba mikroorganizmów w 22</w:t>
            </w:r>
            <w:r>
              <w:rPr>
                <w:rStyle w:val="Mocnowyrniony"/>
                <w:position w:val="8"/>
                <w:sz w:val="24"/>
              </w:rPr>
              <w:t>o</w:t>
            </w:r>
            <w:r>
              <w:rPr>
                <w:rStyle w:val="Mocnowyrniony"/>
                <w:sz w:val="24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bez nieprawidłowych zmian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b/>
                <w:bCs/>
              </w:rPr>
              <w:t>Twardość ogólna (sumaryczna zawartość wapnia i magnezu)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mg/l CaCO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167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1,2-dichloroetan (EDC)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Akryloamid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&lt;0,040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Antymon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Arsen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,8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1,8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Azotyny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0,35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 Pt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Benzo(a)piren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&lt;0,0020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Bor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0,0</w:t>
            </w:r>
            <w:r>
              <w:rPr>
                <w:sz w:val="24"/>
              </w:rPr>
              <w:t>87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Chlorek winylu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mh/l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3,7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Chrom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Cyjanki ogólne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Epichlorohydryna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Fluorki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29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Glin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Indeks nadmanganianowy/utlenialność z KMnO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mg/l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24"/>
              </w:rPr>
              <w:t>3,5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Jon amonowy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0,4</w:t>
            </w: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Kadm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Magnez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7 - 125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Mangan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39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NTU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Miedź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>26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Nikiel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</w:t>
            </w: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Ołów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</w:t>
            </w: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Przewodoność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µS/cm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51</w:t>
            </w: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Rtęć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Selen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Siarczany (VI)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&lt;2,0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Sód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pestycydów (z obliczeń)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trichloroetenu i tetrachloroetenu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WWA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&lt;0,0050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Żelazo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LibreOffice/6.0.4.2$Windows_x86 LibreOffice_project/9b0d9b32d5dcda91d2f1a96dc04c645c450872bf</Application>
  <Pages>2</Pages>
  <Words>243</Words>
  <Characters>1170</Characters>
  <CharactersWithSpaces>1238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2020-04-23T07:48:19Z</dcterms:created>
  <dc:creator/>
  <dc:description/>
  <dc:language>pl-PL</dc:language>
  <cp:lastModifiedBy/>
  <dcterms:modified xsi:type="dcterms:W3CDTF">2020-06-18T14:23:55Z</dcterms:modified>
  <cp:revision>11</cp:revision>
  <dc:subject/>
  <dc:title/>
</cp:coreProperties>
</file>